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266240" w14:textId="77777777" w:rsidR="009A0B7E" w:rsidRPr="00CB09FE" w:rsidRDefault="00CB09FE">
      <w:pPr>
        <w:pStyle w:val="Heading1"/>
        <w:rPr>
          <w:lang w:val="es-CO"/>
        </w:rPr>
      </w:pPr>
      <w:bookmarkStart w:id="0" w:name="bookmark=id.u9gxbe22m7nu" w:colFirst="0" w:colLast="0"/>
      <w:bookmarkEnd w:id="0"/>
      <w:r w:rsidRPr="00CB09FE">
        <w:rPr>
          <w:b/>
          <w:bCs/>
          <w:color w:val="4471C4"/>
          <w:lang w:val="es-CO"/>
        </w:rPr>
        <w:t xml:space="preserve">Press Release Template – Spanish Advanced Career Training </w:t>
      </w:r>
      <w:r w:rsidRPr="00CB09FE">
        <w:rPr>
          <w:b/>
          <w:bCs/>
          <w:color w:val="4471C4"/>
          <w:lang w:val="es-CO"/>
        </w:rPr>
        <w:br/>
        <w:t>Plantilla de Comunicado de Prensa – Capacitación Profesional Avanzada en Español</w:t>
      </w:r>
    </w:p>
    <w:p w14:paraId="5C9418A6" w14:textId="77777777" w:rsidR="009A0B7E" w:rsidRPr="00CB09FE" w:rsidRDefault="009A0B7E">
      <w:pPr>
        <w:pBdr>
          <w:top w:val="nil"/>
          <w:left w:val="nil"/>
          <w:bottom w:val="nil"/>
          <w:right w:val="nil"/>
          <w:between w:val="nil"/>
        </w:pBdr>
        <w:rPr>
          <w:color w:val="000000"/>
          <w:sz w:val="24"/>
          <w:szCs w:val="24"/>
          <w:lang w:val="es-CO"/>
        </w:rPr>
      </w:pPr>
    </w:p>
    <w:p w14:paraId="38828B9F" w14:textId="77777777" w:rsidR="009A0B7E" w:rsidRPr="00CB09FE" w:rsidRDefault="009A0B7E">
      <w:pPr>
        <w:pBdr>
          <w:top w:val="nil"/>
          <w:left w:val="nil"/>
          <w:bottom w:val="nil"/>
          <w:right w:val="nil"/>
          <w:between w:val="nil"/>
        </w:pBdr>
        <w:spacing w:before="64"/>
        <w:rPr>
          <w:color w:val="000000"/>
          <w:sz w:val="24"/>
          <w:szCs w:val="24"/>
          <w:lang w:val="es-CO"/>
        </w:rPr>
      </w:pPr>
    </w:p>
    <w:p w14:paraId="03331B26" w14:textId="77777777" w:rsidR="009A0B7E" w:rsidRPr="00CB09FE" w:rsidRDefault="00CB09FE">
      <w:pPr>
        <w:pStyle w:val="Heading2"/>
        <w:spacing w:line="242" w:lineRule="auto"/>
        <w:rPr>
          <w:lang w:val="es-CO"/>
        </w:rPr>
      </w:pPr>
      <w:r w:rsidRPr="00CB09FE">
        <w:rPr>
          <w:lang w:val="es-CO"/>
        </w:rPr>
        <w:t>[</w:t>
      </w:r>
      <w:r w:rsidRPr="00CB09FE">
        <w:rPr>
          <w:color w:val="000000"/>
          <w:highlight w:val="yellow"/>
          <w:lang w:val="es-CO"/>
        </w:rPr>
        <w:t>Name of Institution</w:t>
      </w:r>
      <w:r w:rsidRPr="00CB09FE">
        <w:rPr>
          <w:color w:val="000000"/>
          <w:lang w:val="es-CO"/>
        </w:rPr>
        <w:t xml:space="preserve">] </w:t>
      </w:r>
      <w:r w:rsidRPr="00CB09FE">
        <w:rPr>
          <w:lang w:val="es-CO"/>
        </w:rPr>
        <w:t>y ed2go amplían la oferta de educación en línea orientada a carreras con nuevos cursos en español</w:t>
      </w:r>
    </w:p>
    <w:p w14:paraId="5AA51FC0" w14:textId="77777777" w:rsidR="009A0B7E" w:rsidRPr="00CB09FE" w:rsidRDefault="00CB09FE">
      <w:pPr>
        <w:spacing w:before="178" w:line="242" w:lineRule="auto"/>
        <w:rPr>
          <w:i/>
          <w:iCs/>
          <w:sz w:val="24"/>
          <w:szCs w:val="24"/>
          <w:lang w:val="es-CO"/>
        </w:rPr>
      </w:pPr>
      <w:r w:rsidRPr="00CB09FE">
        <w:rPr>
          <w:i/>
          <w:iCs/>
          <w:sz w:val="24"/>
          <w:szCs w:val="24"/>
          <w:lang w:val="es-CO"/>
        </w:rPr>
        <w:t>La alianza estratégica con ed2go y la incorporación de nuevos cursos de capacitación profesional avanzada en español destacan el compromiso de [</w:t>
      </w:r>
      <w:r w:rsidRPr="00CB09FE">
        <w:rPr>
          <w:b/>
          <w:bCs/>
          <w:i/>
          <w:iCs/>
          <w:color w:val="000000"/>
          <w:sz w:val="24"/>
          <w:szCs w:val="24"/>
          <w:highlight w:val="yellow"/>
          <w:lang w:val="es-CO"/>
        </w:rPr>
        <w:t>Name of Institution</w:t>
      </w:r>
      <w:r w:rsidRPr="00CB09FE">
        <w:rPr>
          <w:b/>
          <w:bCs/>
          <w:i/>
          <w:iCs/>
          <w:color w:val="000000"/>
          <w:sz w:val="24"/>
          <w:szCs w:val="24"/>
          <w:lang w:val="es-CO"/>
        </w:rPr>
        <w:t xml:space="preserve">] </w:t>
      </w:r>
      <w:r w:rsidRPr="00CB09FE">
        <w:rPr>
          <w:i/>
          <w:iCs/>
          <w:sz w:val="24"/>
          <w:szCs w:val="24"/>
          <w:lang w:val="es-CO"/>
        </w:rPr>
        <w:t>con el fortalecimiento de habilidades laborales y las oportunidades profesionales para sus estudiantes.</w:t>
      </w:r>
    </w:p>
    <w:p w14:paraId="0BBFE345" w14:textId="77777777" w:rsidR="009A0B7E" w:rsidRPr="00CB09FE" w:rsidRDefault="00CB09FE">
      <w:pPr>
        <w:pBdr>
          <w:top w:val="nil"/>
          <w:left w:val="nil"/>
          <w:bottom w:val="nil"/>
          <w:right w:val="nil"/>
          <w:between w:val="nil"/>
        </w:pBdr>
        <w:spacing w:before="174"/>
        <w:rPr>
          <w:color w:val="000000"/>
          <w:sz w:val="24"/>
          <w:szCs w:val="24"/>
          <w:lang w:val="es-CO"/>
        </w:rPr>
      </w:pPr>
      <w:r w:rsidRPr="00CB09FE">
        <w:rPr>
          <w:color w:val="000000"/>
          <w:sz w:val="24"/>
          <w:szCs w:val="24"/>
          <w:lang w:val="es-CO"/>
        </w:rPr>
        <w:t>[</w:t>
      </w:r>
      <w:r w:rsidRPr="00CB09FE">
        <w:rPr>
          <w:b/>
          <w:bCs/>
          <w:color w:val="000000"/>
          <w:sz w:val="24"/>
          <w:szCs w:val="24"/>
          <w:lang w:val="es-CO"/>
        </w:rPr>
        <w:t>CITY, State – Month XX, 2026</w:t>
      </w:r>
      <w:r w:rsidRPr="00CB09FE">
        <w:rPr>
          <w:color w:val="000000"/>
          <w:sz w:val="24"/>
          <w:szCs w:val="24"/>
          <w:lang w:val="es-CO"/>
        </w:rPr>
        <w:t xml:space="preserve">] — </w:t>
      </w:r>
      <w:r w:rsidRPr="00CB09FE">
        <w:rPr>
          <w:b/>
          <w:bCs/>
          <w:color w:val="2B569A"/>
          <w:sz w:val="24"/>
          <w:szCs w:val="24"/>
          <w:lang w:val="es-CO"/>
        </w:rPr>
        <w:t>[</w:t>
      </w:r>
      <w:r w:rsidRPr="00CB09FE">
        <w:rPr>
          <w:b/>
          <w:bCs/>
          <w:color w:val="000000"/>
          <w:sz w:val="24"/>
          <w:szCs w:val="24"/>
          <w:highlight w:val="yellow"/>
          <w:lang w:val="es-CO"/>
        </w:rPr>
        <w:t>Name of Institution</w:t>
      </w:r>
      <w:r w:rsidRPr="00CB09FE">
        <w:rPr>
          <w:b/>
          <w:bCs/>
          <w:color w:val="000000"/>
          <w:sz w:val="24"/>
          <w:szCs w:val="24"/>
          <w:lang w:val="es-CO"/>
        </w:rPr>
        <w:t xml:space="preserve">] </w:t>
      </w:r>
      <w:r w:rsidRPr="00CB09FE">
        <w:rPr>
          <w:sz w:val="24"/>
          <w:szCs w:val="24"/>
          <w:lang w:val="es-CO"/>
        </w:rPr>
        <w:t xml:space="preserve">se complace en anunciar nuestra alianza con </w:t>
      </w:r>
      <w:hyperlink r:id="rId5">
        <w:r w:rsidRPr="00CB09FE">
          <w:rPr>
            <w:color w:val="1155CC"/>
            <w:sz w:val="24"/>
            <w:szCs w:val="24"/>
            <w:u w:val="single"/>
            <w:lang w:val="es-CO"/>
          </w:rPr>
          <w:t>ed2go</w:t>
        </w:r>
      </w:hyperlink>
      <w:r w:rsidRPr="00CB09FE">
        <w:rPr>
          <w:sz w:val="24"/>
          <w:szCs w:val="24"/>
          <w:lang w:val="es-CO"/>
        </w:rPr>
        <w:t>, parte de Cengage. Esta colaboración, junto con la incorporación de cursos en español, refuerza nuestro compromiso de apoyar a las poblaciones hispanohablantes con opciones de capacitación en línea flexibles, accesibles y asequibles que beneficien a nuestra comunidad.</w:t>
      </w:r>
      <w:r>
        <w:rPr>
          <w:noProof/>
        </w:rPr>
        <mc:AlternateContent>
          <mc:Choice Requires="wpg">
            <w:drawing>
              <wp:anchor distT="0" distB="0" distL="0" distR="0" simplePos="0" relativeHeight="251658240" behindDoc="1" locked="0" layoutInCell="1" hidden="0" allowOverlap="1" wp14:anchorId="194CBB06" wp14:editId="2FAF9266">
                <wp:simplePos x="0" y="0"/>
                <wp:positionH relativeFrom="column">
                  <wp:posOffset>2133283</wp:posOffset>
                </wp:positionH>
                <wp:positionV relativeFrom="paragraph">
                  <wp:posOffset>104739</wp:posOffset>
                </wp:positionV>
                <wp:extent cx="60325" cy="196850"/>
                <wp:effectExtent l="0" t="0" r="0" b="0"/>
                <wp:wrapNone/>
                <wp:docPr id="1" name="Freeform: Shape 1"/>
                <wp:cNvGraphicFramePr/>
                <a:graphic xmlns:a="http://schemas.openxmlformats.org/drawingml/2006/main">
                  <a:graphicData uri="http://schemas.microsoft.com/office/word/2010/wordprocessingShape">
                    <wps:wsp>
                      <wps:cNvSpPr/>
                      <wps:spPr>
                        <a:xfrm>
                          <a:off x="5320600" y="3686338"/>
                          <a:ext cx="50800" cy="187325"/>
                        </a:xfrm>
                        <a:custGeom>
                          <a:avLst/>
                          <a:gdLst/>
                          <a:ahLst/>
                          <a:cxnLst/>
                          <a:rect l="l" t="t" r="r" b="b"/>
                          <a:pathLst>
                            <a:path w="50800" h="187325" extrusionOk="0">
                              <a:moveTo>
                                <a:pt x="50800" y="0"/>
                              </a:moveTo>
                              <a:lnTo>
                                <a:pt x="0" y="0"/>
                              </a:lnTo>
                              <a:lnTo>
                                <a:pt x="0" y="187325"/>
                              </a:lnTo>
                              <a:lnTo>
                                <a:pt x="50800" y="187325"/>
                              </a:lnTo>
                              <a:lnTo>
                                <a:pt x="50800" y="0"/>
                              </a:lnTo>
                              <a:close/>
                            </a:path>
                          </a:pathLst>
                        </a:custGeom>
                        <a:solidFill>
                          <a:srgbClr val="E6E6E6"/>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2133283</wp:posOffset>
                </wp:positionH>
                <wp:positionV relativeFrom="paragraph">
                  <wp:posOffset>104739</wp:posOffset>
                </wp:positionV>
                <wp:extent cx="60325" cy="196850"/>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60325" cy="196850"/>
                        </a:xfrm>
                        <a:prstGeom prst="rect"/>
                        <a:ln/>
                      </pic:spPr>
                    </pic:pic>
                  </a:graphicData>
                </a:graphic>
              </wp:anchor>
            </w:drawing>
          </mc:Fallback>
        </mc:AlternateContent>
      </w:r>
    </w:p>
    <w:p w14:paraId="5B7E825D" w14:textId="77777777" w:rsidR="009A0B7E" w:rsidRPr="00CB09FE" w:rsidRDefault="00CB09FE">
      <w:pPr>
        <w:pStyle w:val="Heading2"/>
        <w:spacing w:before="178"/>
        <w:rPr>
          <w:lang w:val="es-CO"/>
        </w:rPr>
      </w:pPr>
      <w:r w:rsidRPr="00CB09FE">
        <w:rPr>
          <w:lang w:val="es-CO"/>
        </w:rPr>
        <w:t xml:space="preserve">Aprendizaje accesible y asequible </w:t>
      </w:r>
    </w:p>
    <w:p w14:paraId="1F5C21BF" w14:textId="77777777" w:rsidR="009A0B7E" w:rsidRPr="00CB09FE" w:rsidRDefault="00CB09FE">
      <w:pPr>
        <w:pBdr>
          <w:top w:val="nil"/>
          <w:left w:val="nil"/>
          <w:bottom w:val="nil"/>
          <w:right w:val="nil"/>
          <w:between w:val="nil"/>
        </w:pBdr>
        <w:spacing w:before="182"/>
        <w:ind w:right="68"/>
        <w:rPr>
          <w:color w:val="000000"/>
          <w:sz w:val="24"/>
          <w:szCs w:val="24"/>
          <w:lang w:val="es-CO"/>
        </w:rPr>
      </w:pPr>
      <w:r w:rsidRPr="00CB09FE">
        <w:rPr>
          <w:sz w:val="24"/>
          <w:szCs w:val="24"/>
          <w:lang w:val="es-CO"/>
        </w:rPr>
        <w:t>A través de una alianza estratégica con ed2go y la introducción de nuevos cursos de capacitación profesional en línea en español,</w:t>
      </w:r>
      <w:r w:rsidRPr="00CB09FE">
        <w:rPr>
          <w:color w:val="000000"/>
          <w:sz w:val="24"/>
          <w:szCs w:val="24"/>
          <w:lang w:val="es-CO"/>
        </w:rPr>
        <w:t xml:space="preserve"> </w:t>
      </w:r>
      <w:r w:rsidRPr="00CB09FE">
        <w:rPr>
          <w:b/>
          <w:bCs/>
          <w:color w:val="000000"/>
          <w:sz w:val="24"/>
          <w:szCs w:val="24"/>
          <w:highlight w:val="yellow"/>
          <w:lang w:val="es-CO"/>
        </w:rPr>
        <w:t>[Name of Institution]</w:t>
      </w:r>
      <w:r w:rsidRPr="00CB09FE">
        <w:rPr>
          <w:sz w:val="24"/>
          <w:szCs w:val="24"/>
          <w:lang w:val="es-CO"/>
        </w:rPr>
        <w:t xml:space="preserve"> fortalece aún más las habilidades laborales y las oportunidades profesionales de los estudiantes. Estos cursos, impulsados por ed2go, nos ayudarán a cerrar la brecha entre la educación y el empleo, donde el modelo tradicional presencial de dos y cuatro años deja a muchos rezagados, y representan nuestro compromiso de hacer que la educación de calidad sea accesible. </w:t>
      </w:r>
    </w:p>
    <w:p w14:paraId="2C876ECF" w14:textId="77777777" w:rsidR="009A0B7E" w:rsidRPr="00CB09FE" w:rsidRDefault="00CB09FE">
      <w:pPr>
        <w:pBdr>
          <w:top w:val="nil"/>
          <w:left w:val="nil"/>
          <w:bottom w:val="nil"/>
          <w:right w:val="nil"/>
          <w:between w:val="nil"/>
        </w:pBdr>
        <w:spacing w:before="178"/>
        <w:ind w:right="53"/>
        <w:rPr>
          <w:color w:val="000000"/>
          <w:sz w:val="24"/>
          <w:szCs w:val="24"/>
          <w:lang w:val="es-CO"/>
        </w:rPr>
      </w:pPr>
      <w:r w:rsidRPr="00CB09FE">
        <w:rPr>
          <w:color w:val="000000"/>
          <w:sz w:val="24"/>
          <w:szCs w:val="24"/>
          <w:lang w:val="es-CO"/>
        </w:rPr>
        <w:t>"[</w:t>
      </w:r>
      <w:r w:rsidRPr="00CB09FE">
        <w:rPr>
          <w:b/>
          <w:bCs/>
          <w:color w:val="000000"/>
          <w:sz w:val="24"/>
          <w:szCs w:val="24"/>
          <w:highlight w:val="yellow"/>
          <w:lang w:val="es-CO"/>
        </w:rPr>
        <w:t>Name of Institution</w:t>
      </w:r>
      <w:r w:rsidRPr="00CB09FE">
        <w:rPr>
          <w:b/>
          <w:bCs/>
          <w:color w:val="000000"/>
          <w:sz w:val="24"/>
          <w:szCs w:val="24"/>
          <w:lang w:val="es-CO"/>
        </w:rPr>
        <w:t xml:space="preserve">] </w:t>
      </w:r>
      <w:r w:rsidRPr="00CB09FE">
        <w:rPr>
          <w:sz w:val="24"/>
          <w:szCs w:val="24"/>
          <w:lang w:val="es-CO"/>
        </w:rPr>
        <w:t xml:space="preserve">comprende la rápida evolución del mercado laboral y la importancia de soluciones de aprendizaje adaptables”, afirmó </w:t>
      </w:r>
      <w:r w:rsidRPr="00CB09FE">
        <w:rPr>
          <w:b/>
          <w:bCs/>
          <w:color w:val="000000"/>
          <w:sz w:val="24"/>
          <w:szCs w:val="24"/>
          <w:highlight w:val="yellow"/>
          <w:lang w:val="es-CO"/>
        </w:rPr>
        <w:t>[Name</w:t>
      </w:r>
      <w:r w:rsidRPr="00CB09FE">
        <w:rPr>
          <w:color w:val="000000"/>
          <w:sz w:val="24"/>
          <w:szCs w:val="24"/>
          <w:lang w:val="es-CO"/>
        </w:rPr>
        <w:t>], [</w:t>
      </w:r>
      <w:r w:rsidRPr="00CB09FE">
        <w:rPr>
          <w:b/>
          <w:bCs/>
          <w:color w:val="000000"/>
          <w:sz w:val="24"/>
          <w:szCs w:val="24"/>
          <w:highlight w:val="yellow"/>
          <w:lang w:val="es-CO"/>
        </w:rPr>
        <w:t>Title</w:t>
      </w:r>
      <w:r w:rsidRPr="00CB09FE">
        <w:rPr>
          <w:color w:val="000000"/>
          <w:sz w:val="24"/>
          <w:szCs w:val="24"/>
          <w:lang w:val="es-CO"/>
        </w:rPr>
        <w:t xml:space="preserve">] </w:t>
      </w:r>
      <w:r w:rsidRPr="00CB09FE">
        <w:rPr>
          <w:sz w:val="24"/>
          <w:szCs w:val="24"/>
          <w:lang w:val="es-CO"/>
        </w:rPr>
        <w:t xml:space="preserve">en </w:t>
      </w:r>
      <w:r w:rsidRPr="00CB09FE">
        <w:rPr>
          <w:color w:val="000000"/>
          <w:sz w:val="24"/>
          <w:szCs w:val="24"/>
          <w:lang w:val="es-CO"/>
        </w:rPr>
        <w:t>[</w:t>
      </w:r>
      <w:r w:rsidRPr="00CB09FE">
        <w:rPr>
          <w:b/>
          <w:bCs/>
          <w:color w:val="000000"/>
          <w:sz w:val="24"/>
          <w:szCs w:val="24"/>
          <w:highlight w:val="yellow"/>
          <w:lang w:val="es-CO"/>
        </w:rPr>
        <w:t>Name of Institution</w:t>
      </w:r>
      <w:r w:rsidRPr="00CB09FE">
        <w:rPr>
          <w:b/>
          <w:bCs/>
          <w:color w:val="000000"/>
          <w:sz w:val="24"/>
          <w:szCs w:val="24"/>
          <w:lang w:val="es-CO"/>
        </w:rPr>
        <w:t>]</w:t>
      </w:r>
      <w:r w:rsidRPr="00CB09FE">
        <w:rPr>
          <w:color w:val="000000"/>
          <w:sz w:val="24"/>
          <w:szCs w:val="24"/>
          <w:lang w:val="es-CO"/>
        </w:rPr>
        <w:t xml:space="preserve">. </w:t>
      </w:r>
      <w:r w:rsidRPr="00CB09FE">
        <w:rPr>
          <w:sz w:val="24"/>
          <w:szCs w:val="24"/>
          <w:lang w:val="es-CO"/>
        </w:rPr>
        <w:t xml:space="preserve">“Nuestra colaboración con ed2go nos permite ofrecer la flexibilidad y agilidad necesarias para que las personas desarrollen nuevas habilidades de manera efectiva y aprovechen las oportunidades laborales emergentes”. </w:t>
      </w:r>
    </w:p>
    <w:p w14:paraId="62B2CD8B" w14:textId="77777777" w:rsidR="009A0B7E" w:rsidRPr="00CB09FE" w:rsidRDefault="00CB09FE">
      <w:pPr>
        <w:pStyle w:val="Heading2"/>
        <w:spacing w:before="183"/>
        <w:rPr>
          <w:lang w:val="es-CO"/>
        </w:rPr>
      </w:pPr>
      <w:r w:rsidRPr="00CB09FE">
        <w:rPr>
          <w:lang w:val="es-CO"/>
        </w:rPr>
        <w:t xml:space="preserve">La ventaja de ed2go </w:t>
      </w:r>
    </w:p>
    <w:p w14:paraId="00843F3E" w14:textId="77777777" w:rsidR="009A0B7E" w:rsidRPr="00CB09FE" w:rsidRDefault="00CB09FE">
      <w:pPr>
        <w:spacing w:before="240" w:after="240" w:line="259" w:lineRule="auto"/>
        <w:rPr>
          <w:sz w:val="24"/>
          <w:szCs w:val="24"/>
          <w:lang w:val="es-CO"/>
        </w:rPr>
      </w:pPr>
      <w:r w:rsidRPr="00CB09FE">
        <w:rPr>
          <w:sz w:val="24"/>
          <w:szCs w:val="24"/>
          <w:lang w:val="es-CO"/>
        </w:rPr>
        <w:t>ed2go cuenta con más de 25 años de experiencia en la creación de contenido educativo y ha atendido a más de 4.5 millones de estudiantes con un catálogo de más de 850 cursos en línea de alta demanda.</w:t>
      </w:r>
    </w:p>
    <w:p w14:paraId="6C7AD6A8" w14:textId="77777777" w:rsidR="009A0B7E" w:rsidRPr="00CB09FE" w:rsidRDefault="00CB09FE">
      <w:pPr>
        <w:spacing w:before="240" w:after="240" w:line="259" w:lineRule="auto"/>
        <w:rPr>
          <w:sz w:val="24"/>
          <w:szCs w:val="24"/>
          <w:lang w:val="es-CO"/>
        </w:rPr>
      </w:pPr>
      <w:r w:rsidRPr="00CB09FE">
        <w:rPr>
          <w:sz w:val="24"/>
          <w:szCs w:val="24"/>
          <w:lang w:val="es-CO"/>
        </w:rPr>
        <w:t>Estas ofertas brindan a los estudiantes habilidades y credenciales altamente solicitadas en diversos sectores, incluidos, entre otros, HVAC (calefacción, ventilación y aire acondicionado), facturación y codificación médica, recursos humanos, programación y gestión de proyectos; y ahora incluyen un catálogo en crecimiento de cursos en español que abarcan áreas como belleza, negocios y más.</w:t>
      </w:r>
    </w:p>
    <w:p w14:paraId="3F89E085" w14:textId="77777777" w:rsidR="009A0B7E" w:rsidRPr="00CB09FE" w:rsidRDefault="00CB09FE">
      <w:pPr>
        <w:spacing w:before="240" w:after="240" w:line="259" w:lineRule="auto"/>
        <w:rPr>
          <w:sz w:val="24"/>
          <w:szCs w:val="24"/>
          <w:lang w:val="es-CO"/>
        </w:rPr>
        <w:sectPr w:rsidR="009A0B7E" w:rsidRPr="00CB09FE">
          <w:pgSz w:w="12240" w:h="15840"/>
          <w:pgMar w:top="1820" w:right="1440" w:bottom="280" w:left="1440" w:header="720" w:footer="720" w:gutter="0"/>
          <w:pgNumType w:start="1"/>
          <w:cols w:space="720"/>
        </w:sectPr>
      </w:pPr>
      <w:r w:rsidRPr="00CB09FE">
        <w:rPr>
          <w:sz w:val="24"/>
          <w:szCs w:val="24"/>
          <w:lang w:val="es-CO"/>
        </w:rPr>
        <w:t xml:space="preserve">“Nuestros nuevos cursos de capacitación profesional en español abrirán puertas para los estudiantes hispanohablantes al proporcionar educación en línea de alta calidad en su idioma </w:t>
      </w:r>
      <w:r w:rsidRPr="00CB09FE">
        <w:rPr>
          <w:sz w:val="24"/>
          <w:szCs w:val="24"/>
          <w:lang w:val="es-CO"/>
        </w:rPr>
        <w:lastRenderedPageBreak/>
        <w:t>preferido, fortaleciendo sus perspectivas profesionales y apoyando su camino hacia un empleo significativo”, afirmó Tracey Baschetti, vicepresidenta de ventas de ed2go. “Estamos orgullosos de apoyar a los socios de ed2go para enriquecer la vida de sus estudiantes, brindándoles habilidades relevantes y transferibles”.</w:t>
      </w:r>
    </w:p>
    <w:p w14:paraId="27772C81" w14:textId="77777777" w:rsidR="009A0B7E" w:rsidRPr="00CB09FE" w:rsidRDefault="00CB09FE">
      <w:pPr>
        <w:pStyle w:val="Heading2"/>
        <w:spacing w:before="97"/>
        <w:rPr>
          <w:lang w:val="es-CO"/>
        </w:rPr>
      </w:pPr>
      <w:r w:rsidRPr="00CB09FE">
        <w:rPr>
          <w:lang w:val="es-CO"/>
        </w:rPr>
        <w:lastRenderedPageBreak/>
        <w:t xml:space="preserve">Acerca de ed2go y Cengage </w:t>
      </w:r>
    </w:p>
    <w:p w14:paraId="21F310B4" w14:textId="77777777" w:rsidR="009A0B7E" w:rsidRPr="00CB09FE" w:rsidRDefault="00CB09FE">
      <w:pPr>
        <w:pBdr>
          <w:top w:val="nil"/>
          <w:left w:val="nil"/>
          <w:bottom w:val="nil"/>
          <w:right w:val="nil"/>
          <w:between w:val="nil"/>
        </w:pBdr>
        <w:spacing w:before="177"/>
        <w:ind w:right="200"/>
        <w:rPr>
          <w:color w:val="000000"/>
          <w:sz w:val="24"/>
          <w:szCs w:val="24"/>
          <w:lang w:val="es-CO"/>
        </w:rPr>
      </w:pPr>
      <w:r w:rsidRPr="00CB09FE">
        <w:rPr>
          <w:b/>
          <w:bCs/>
          <w:color w:val="000000"/>
          <w:sz w:val="24"/>
          <w:szCs w:val="24"/>
          <w:lang w:val="es-CO"/>
        </w:rPr>
        <w:t xml:space="preserve">ed2go: </w:t>
      </w:r>
      <w:r w:rsidRPr="00CB09FE">
        <w:rPr>
          <w:sz w:val="24"/>
          <w:szCs w:val="24"/>
          <w:lang w:val="es-CO"/>
        </w:rPr>
        <w:t>ed2go es líder en la industria del aprendizaje en línea asequible para adultos. Ofrecemos cursos de educación continua en línea de la más alta calidad a través de una red de más de 2,000 colegios, universidades y socios de desarrollo laboral ubicados en más de 100 países. Además de nuestro amplio catálogo, ed2go ofrece iniciativas de marketing enfocadas en el estudiante —incluyendo kits de campaña, sitios web alojados, SEO y más— para generar demanda y dirigir tráfico a los sitios de nuestros socios. Para m</w:t>
      </w:r>
      <w:r w:rsidRPr="00CB09FE">
        <w:rPr>
          <w:sz w:val="24"/>
          <w:szCs w:val="24"/>
          <w:lang w:val="es-CO"/>
        </w:rPr>
        <w:t xml:space="preserve">ás información, visite </w:t>
      </w:r>
      <w:r w:rsidRPr="00CB09FE">
        <w:rPr>
          <w:color w:val="000000"/>
          <w:sz w:val="24"/>
          <w:szCs w:val="24"/>
          <w:lang w:val="es-CO"/>
        </w:rPr>
        <w:t xml:space="preserve"> </w:t>
      </w:r>
      <w:hyperlink r:id="rId9">
        <w:r w:rsidRPr="00CB09FE">
          <w:rPr>
            <w:color w:val="4471C4"/>
            <w:sz w:val="24"/>
            <w:szCs w:val="24"/>
            <w:lang w:val="es-CO"/>
          </w:rPr>
          <w:t>www.ed2go.com</w:t>
        </w:r>
      </w:hyperlink>
      <w:hyperlink r:id="rId10">
        <w:r w:rsidRPr="00CB09FE">
          <w:rPr>
            <w:color w:val="000000"/>
            <w:sz w:val="24"/>
            <w:szCs w:val="24"/>
            <w:lang w:val="es-CO"/>
          </w:rPr>
          <w:t>.</w:t>
        </w:r>
      </w:hyperlink>
    </w:p>
    <w:p w14:paraId="04D499F1" w14:textId="77777777" w:rsidR="009A0B7E" w:rsidRPr="00CB09FE" w:rsidRDefault="00CB09FE">
      <w:pPr>
        <w:pBdr>
          <w:top w:val="nil"/>
          <w:left w:val="nil"/>
          <w:bottom w:val="nil"/>
          <w:right w:val="nil"/>
          <w:between w:val="nil"/>
        </w:pBdr>
        <w:spacing w:before="178"/>
        <w:ind w:right="200"/>
        <w:rPr>
          <w:color w:val="000000"/>
          <w:sz w:val="24"/>
          <w:szCs w:val="24"/>
          <w:lang w:val="es-CO"/>
        </w:rPr>
      </w:pPr>
      <w:r w:rsidRPr="00CB09FE">
        <w:rPr>
          <w:b/>
          <w:bCs/>
          <w:color w:val="000000"/>
          <w:sz w:val="24"/>
          <w:szCs w:val="24"/>
          <w:lang w:val="es-CO"/>
        </w:rPr>
        <w:t xml:space="preserve">Cengage: </w:t>
      </w:r>
      <w:r w:rsidRPr="00CB09FE">
        <w:rPr>
          <w:sz w:val="24"/>
          <w:szCs w:val="24"/>
          <w:lang w:val="es-CO"/>
        </w:rPr>
        <w:t xml:space="preserve">Empresa de tecnología educativa que atiende a millones de estudiantes en 165 países, impulsa la forma en que los estudiantes aprenden a través de experiencias digitales de alta calidad. Actualmente, la empresa presta servicios a los mercados de educación básica (K-12), educación superior, profesional, bibliotecas, enseñanza del idioma inglés y capacitación laboral a nivel mundial. Para más información, visite </w:t>
      </w:r>
      <w:hyperlink r:id="rId11">
        <w:r w:rsidRPr="00CB09FE">
          <w:rPr>
            <w:color w:val="0000FF"/>
            <w:sz w:val="24"/>
            <w:szCs w:val="24"/>
            <w:u w:val="single"/>
            <w:lang w:val="es-CO"/>
          </w:rPr>
          <w:t>https://www.cengage.com/</w:t>
        </w:r>
      </w:hyperlink>
      <w:hyperlink r:id="rId12">
        <w:r w:rsidRPr="00CB09FE">
          <w:rPr>
            <w:color w:val="000000"/>
            <w:sz w:val="24"/>
            <w:szCs w:val="24"/>
            <w:lang w:val="es-CO"/>
          </w:rPr>
          <w:t>.</w:t>
        </w:r>
      </w:hyperlink>
    </w:p>
    <w:p w14:paraId="6B227024" w14:textId="77777777" w:rsidR="009A0B7E" w:rsidRPr="00CB09FE" w:rsidRDefault="00CB09FE">
      <w:pPr>
        <w:spacing w:before="186" w:line="384" w:lineRule="auto"/>
        <w:ind w:right="3774"/>
        <w:rPr>
          <w:b/>
          <w:bCs/>
          <w:sz w:val="24"/>
          <w:szCs w:val="24"/>
          <w:lang w:val="es-CO"/>
        </w:rPr>
      </w:pPr>
      <w:r w:rsidRPr="00CB09FE">
        <w:rPr>
          <w:sz w:val="24"/>
          <w:szCs w:val="24"/>
          <w:lang w:val="es-CO"/>
        </w:rPr>
        <w:t>Para más información, visite  [</w:t>
      </w:r>
      <w:r w:rsidRPr="00CB09FE">
        <w:rPr>
          <w:b/>
          <w:bCs/>
          <w:color w:val="000000"/>
          <w:sz w:val="24"/>
          <w:szCs w:val="24"/>
          <w:highlight w:val="yellow"/>
          <w:lang w:val="es-CO"/>
        </w:rPr>
        <w:t>insert link here</w:t>
      </w:r>
      <w:r w:rsidRPr="00CB09FE">
        <w:rPr>
          <w:color w:val="000000"/>
          <w:sz w:val="24"/>
          <w:szCs w:val="24"/>
          <w:lang w:val="es-CO"/>
        </w:rPr>
        <w:t xml:space="preserve">] </w:t>
      </w:r>
      <w:r w:rsidRPr="00CB09FE">
        <w:rPr>
          <w:b/>
          <w:bCs/>
          <w:color w:val="000000"/>
          <w:sz w:val="24"/>
          <w:szCs w:val="24"/>
          <w:lang w:val="es-CO"/>
        </w:rPr>
        <w:t xml:space="preserve">Media </w:t>
      </w:r>
      <w:r w:rsidRPr="00CB09FE">
        <w:rPr>
          <w:b/>
          <w:bCs/>
          <w:sz w:val="24"/>
          <w:szCs w:val="24"/>
          <w:lang w:val="es-CO"/>
        </w:rPr>
        <w:t xml:space="preserve">Contacto: </w:t>
      </w:r>
    </w:p>
    <w:p w14:paraId="2334FAC2" w14:textId="77777777" w:rsidR="009A0B7E" w:rsidRDefault="00CB09FE">
      <w:pPr>
        <w:pBdr>
          <w:top w:val="nil"/>
          <w:left w:val="nil"/>
          <w:bottom w:val="nil"/>
          <w:right w:val="nil"/>
          <w:between w:val="nil"/>
        </w:pBdr>
        <w:spacing w:before="7" w:line="388" w:lineRule="auto"/>
        <w:ind w:right="8118"/>
        <w:rPr>
          <w:color w:val="000000"/>
          <w:sz w:val="24"/>
          <w:szCs w:val="24"/>
        </w:rPr>
      </w:pPr>
      <w:r>
        <w:rPr>
          <w:color w:val="000000"/>
          <w:sz w:val="24"/>
          <w:szCs w:val="24"/>
        </w:rPr>
        <w:t>[Your Name] [Your Title]</w:t>
      </w:r>
    </w:p>
    <w:p w14:paraId="4284AAAF" w14:textId="77777777" w:rsidR="009A0B7E" w:rsidRDefault="00CB09FE">
      <w:pPr>
        <w:pBdr>
          <w:top w:val="nil"/>
          <w:left w:val="nil"/>
          <w:bottom w:val="nil"/>
          <w:right w:val="nil"/>
          <w:between w:val="nil"/>
        </w:pBdr>
        <w:spacing w:line="289" w:lineRule="auto"/>
        <w:rPr>
          <w:color w:val="000000"/>
          <w:sz w:val="24"/>
          <w:szCs w:val="24"/>
        </w:rPr>
      </w:pPr>
      <w:r>
        <w:rPr>
          <w:color w:val="000000"/>
          <w:sz w:val="24"/>
          <w:szCs w:val="24"/>
        </w:rPr>
        <w:t>[Your Contact Information]</w:t>
      </w:r>
    </w:p>
    <w:p w14:paraId="7694DCFA" w14:textId="77777777" w:rsidR="009A0B7E" w:rsidRDefault="009A0B7E">
      <w:pPr>
        <w:pBdr>
          <w:top w:val="nil"/>
          <w:left w:val="nil"/>
          <w:bottom w:val="nil"/>
          <w:right w:val="nil"/>
          <w:between w:val="nil"/>
        </w:pBdr>
        <w:rPr>
          <w:color w:val="000000"/>
          <w:sz w:val="24"/>
          <w:szCs w:val="24"/>
        </w:rPr>
      </w:pPr>
    </w:p>
    <w:p w14:paraId="47EE681E" w14:textId="77777777" w:rsidR="009A0B7E" w:rsidRDefault="009A0B7E">
      <w:pPr>
        <w:pBdr>
          <w:top w:val="nil"/>
          <w:left w:val="nil"/>
          <w:bottom w:val="nil"/>
          <w:right w:val="nil"/>
          <w:between w:val="nil"/>
        </w:pBdr>
        <w:spacing w:before="67"/>
        <w:rPr>
          <w:color w:val="000000"/>
          <w:sz w:val="24"/>
          <w:szCs w:val="24"/>
        </w:rPr>
      </w:pPr>
    </w:p>
    <w:p w14:paraId="201D2622" w14:textId="77777777" w:rsidR="009A0B7E" w:rsidRDefault="00CB09FE">
      <w:pPr>
        <w:ind w:left="5"/>
        <w:jc w:val="center"/>
        <w:rPr>
          <w:sz w:val="24"/>
          <w:szCs w:val="24"/>
        </w:rPr>
      </w:pPr>
      <w:r>
        <w:rPr>
          <w:sz w:val="24"/>
          <w:szCs w:val="24"/>
        </w:rPr>
        <w:t>###</w:t>
      </w:r>
    </w:p>
    <w:sectPr w:rsidR="009A0B7E">
      <w:pgSz w:w="12240" w:h="15840"/>
      <w:pgMar w:top="1820" w:right="1440" w:bottom="28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037B1D29-154E-468F-86F5-90D29B1B59AF}"/>
    <w:embedBold r:id="rId2" w:fontKey="{71DF63A1-E856-4B4F-A0ED-2E5A73D94CE2}"/>
    <w:embedItalic r:id="rId3" w:fontKey="{FBEE97A1-BE93-4F0F-A305-1E61179D8A0C}"/>
    <w:embedBoldItalic r:id="rId4" w:fontKey="{3691570B-30A6-42A9-9D39-CC0939349D68}"/>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5" w:fontKey="{054FF2E9-EFF2-44B6-8DF2-5151FA2F3B24}"/>
  </w:font>
  <w:font w:name="Cambria">
    <w:panose1 w:val="02040503050406030204"/>
    <w:charset w:val="00"/>
    <w:family w:val="roman"/>
    <w:pitch w:val="variable"/>
    <w:sig w:usb0="E00006FF" w:usb1="420024FF" w:usb2="02000000" w:usb3="00000000" w:csb0="0000019F" w:csb1="00000000"/>
    <w:embedRegular r:id="rId6" w:fontKey="{1ABE76F7-7ED2-4C16-9CD1-DE4C62E41C6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0B7E"/>
    <w:rsid w:val="00024C20"/>
    <w:rsid w:val="009A0B7E"/>
    <w:rsid w:val="00CB09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EB5B2"/>
  <w15:docId w15:val="{E946D2CD-D8A1-40B5-9618-A3D167C8E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101"/>
      <w:outlineLvl w:val="0"/>
    </w:pPr>
    <w:rPr>
      <w:sz w:val="32"/>
      <w:szCs w:val="32"/>
    </w:rPr>
  </w:style>
  <w:style w:type="paragraph" w:styleId="Heading2">
    <w:name w:val="heading 2"/>
    <w:basedOn w:val="Normal"/>
    <w:next w:val="Normal"/>
    <w:uiPriority w:val="9"/>
    <w:unhideWhenUsed/>
    <w:qFormat/>
    <w:pPr>
      <w:spacing w:before="1"/>
      <w:outlineLvl w:val="1"/>
    </w:pPr>
    <w:rPr>
      <w:b/>
      <w:bCs/>
      <w:sz w:val="24"/>
      <w:szCs w:val="24"/>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www.cengagegroup.com/" TargetMode="External"/><Relationship Id="rId2" Type="http://schemas.openxmlformats.org/officeDocument/2006/relationships/styles" Target="styles.xml"/><Relationship Id="rId1" Type="http://schemas.openxmlformats.org/officeDocument/2006/relationships/customXml" Target="../customXml/item1.xml"/><Relationship Id="rId11" Type="http://schemas.openxmlformats.org/officeDocument/2006/relationships/hyperlink" Target="https://www.cengage.com/" TargetMode="External"/><Relationship Id="rId5" Type="http://schemas.openxmlformats.org/officeDocument/2006/relationships/hyperlink" Target="https://www.ed2go.com/" TargetMode="External"/><Relationship Id="rId10" Type="http://schemas.openxmlformats.org/officeDocument/2006/relationships/hyperlink" Target="http://www.ed2go.com/" TargetMode="External"/><Relationship Id="rId4" Type="http://schemas.openxmlformats.org/officeDocument/2006/relationships/webSettings" Target="webSettings.xml"/><Relationship Id="rId9" Type="http://schemas.openxmlformats.org/officeDocument/2006/relationships/hyperlink" Target="http://www.ed2go.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H3ZBqz5dL04+zsk3aBdCjfPlng==">CgMxLjAyD2lkLnU5Z3hiZTIybTdudTgAciExZnNaNU9MZnpkRGNUalpYcXJhM1RjeDJGSlIydnBQQmk=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647</Words>
  <Characters>3693</Characters>
  <Application>Microsoft Office Word</Application>
  <DocSecurity>0</DocSecurity>
  <Lines>30</Lines>
  <Paragraphs>8</Paragraphs>
  <ScaleCrop>false</ScaleCrop>
  <Company>Cengage</Company>
  <LinksUpToDate>false</LinksUpToDate>
  <CharactersWithSpaces>4332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Wyrick, Audrey</dc:creator>
  <cp:lastModifiedBy>Wyrick, Audrey</cp:lastModifiedBy>
  <cp:revision>2</cp:revision>
  <dcterms:created xsi:type="dcterms:W3CDTF">2026-05-05T16:16:00Z</dcterms:created>
  <dcterms:modified xsi:type="dcterms:W3CDTF">2026-05-05T16:16:00Z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2024-02-22T00:00:00Z</vt:lpwstr>
  </property>
  <property fmtid="{D5CDD505-2E9C-101B-9397-08002B2CF9AE}" pid="3" name="Creator">
    <vt:lpwstr>Microsoft Word</vt:lpwstr>
  </property>
  <property fmtid="{D5CDD505-2E9C-101B-9397-08002B2CF9AE}" pid="4" name="LastSaved">
    <vt:lpwstr>2026-03-26T00:00:00Z</vt:lpwstr>
  </property>
</Properties>
</file>